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E6BCB" w14:textId="17852BCA" w:rsidR="00A14349" w:rsidRPr="00191865" w:rsidRDefault="00A14349" w:rsidP="008D313C">
      <w:pPr>
        <w:wordWrap/>
        <w:spacing w:after="0" w:line="276" w:lineRule="auto"/>
        <w:jc w:val="center"/>
        <w:rPr>
          <w:rFonts w:ascii="Times New Roman" w:hAnsi="Times New Roman" w:cs="Times New Roman"/>
          <w:b/>
          <w:bCs/>
          <w:sz w:val="24"/>
          <w:szCs w:val="24"/>
        </w:rPr>
      </w:pPr>
      <w:bookmarkStart w:id="0" w:name="_Hlk198284790"/>
      <w:r w:rsidRPr="00191865">
        <w:rPr>
          <w:rFonts w:ascii="Times New Roman" w:hAnsi="Times New Roman" w:cs="Times New Roman"/>
          <w:b/>
          <w:bCs/>
          <w:sz w:val="24"/>
          <w:szCs w:val="24"/>
        </w:rPr>
        <w:t>2025 APEC Ministers Responsible for Trade</w:t>
      </w:r>
      <w:r w:rsidR="002C7D7D" w:rsidRPr="00191865">
        <w:rPr>
          <w:rFonts w:ascii="Times New Roman" w:hAnsi="Times New Roman" w:cs="Times New Roman"/>
          <w:b/>
          <w:bCs/>
          <w:sz w:val="24"/>
          <w:szCs w:val="24"/>
        </w:rPr>
        <w:t xml:space="preserve"> Joint</w:t>
      </w:r>
      <w:r w:rsidRPr="00191865">
        <w:rPr>
          <w:rFonts w:ascii="Times New Roman" w:hAnsi="Times New Roman" w:cs="Times New Roman"/>
          <w:b/>
          <w:bCs/>
          <w:sz w:val="24"/>
          <w:szCs w:val="24"/>
        </w:rPr>
        <w:t xml:space="preserve"> Statement</w:t>
      </w:r>
    </w:p>
    <w:p w14:paraId="576A4D0C" w14:textId="77777777" w:rsidR="00A14349" w:rsidRPr="00191865" w:rsidRDefault="00A14349" w:rsidP="008D313C">
      <w:pPr>
        <w:wordWrap/>
        <w:spacing w:after="0" w:line="276" w:lineRule="auto"/>
        <w:jc w:val="center"/>
        <w:rPr>
          <w:rFonts w:ascii="Times New Roman" w:hAnsi="Times New Roman" w:cs="Times New Roman"/>
          <w:b/>
          <w:bCs/>
          <w:sz w:val="24"/>
          <w:szCs w:val="24"/>
        </w:rPr>
      </w:pPr>
      <w:r w:rsidRPr="00191865">
        <w:rPr>
          <w:rFonts w:ascii="Times New Roman" w:hAnsi="Times New Roman" w:cs="Times New Roman"/>
          <w:b/>
          <w:bCs/>
          <w:sz w:val="24"/>
          <w:szCs w:val="24"/>
        </w:rPr>
        <w:t>Jeju, Republic of Korea | 15-16 May 2025</w:t>
      </w:r>
    </w:p>
    <w:p w14:paraId="241A9A68" w14:textId="77777777" w:rsidR="00A14349" w:rsidRPr="00191865" w:rsidRDefault="00A14349" w:rsidP="008D313C">
      <w:pPr>
        <w:wordWrap/>
        <w:spacing w:after="0" w:line="276" w:lineRule="auto"/>
        <w:rPr>
          <w:rFonts w:ascii="Times New Roman" w:hAnsi="Times New Roman" w:cs="Times New Roman"/>
          <w:b/>
          <w:bCs/>
          <w:sz w:val="24"/>
          <w:szCs w:val="24"/>
          <w:u w:val="single"/>
        </w:rPr>
      </w:pPr>
    </w:p>
    <w:p w14:paraId="2BA2417A" w14:textId="160CF607" w:rsidR="00A14349" w:rsidRPr="008D313C" w:rsidRDefault="00A14349" w:rsidP="008D313C">
      <w:pPr>
        <w:pStyle w:val="a6"/>
        <w:numPr>
          <w:ilvl w:val="0"/>
          <w:numId w:val="3"/>
        </w:numPr>
        <w:wordWrap/>
        <w:spacing w:after="0" w:line="276" w:lineRule="auto"/>
        <w:rPr>
          <w:rFonts w:ascii="Times New Roman" w:hAnsi="Times New Roman" w:cs="Times New Roman"/>
          <w:sz w:val="24"/>
          <w:szCs w:val="24"/>
        </w:rPr>
      </w:pPr>
      <w:bookmarkStart w:id="1" w:name="_Hlk197553297"/>
      <w:bookmarkEnd w:id="0"/>
      <w:r w:rsidRPr="00191865">
        <w:rPr>
          <w:rFonts w:ascii="Times New Roman" w:hAnsi="Times New Roman" w:cs="Times New Roman"/>
          <w:sz w:val="24"/>
          <w:szCs w:val="24"/>
        </w:rPr>
        <w:t xml:space="preserve">We, the Asia-Pacific Economic Cooperation (APEC) Ministers Responsible for Trade (MRT), met in </w:t>
      </w:r>
      <w:proofErr w:type="spellStart"/>
      <w:r w:rsidRPr="00191865">
        <w:rPr>
          <w:rFonts w:ascii="Times New Roman" w:hAnsi="Times New Roman" w:cs="Times New Roman"/>
          <w:sz w:val="24"/>
          <w:szCs w:val="24"/>
        </w:rPr>
        <w:t>Jeju</w:t>
      </w:r>
      <w:proofErr w:type="spellEnd"/>
      <w:r w:rsidRPr="00191865">
        <w:rPr>
          <w:rFonts w:ascii="Times New Roman" w:hAnsi="Times New Roman" w:cs="Times New Roman"/>
          <w:sz w:val="24"/>
          <w:szCs w:val="24"/>
        </w:rPr>
        <w:t xml:space="preserve">, Republic of Korea, from 15-16 May 2025, under the chairmanship of H.E. </w:t>
      </w:r>
      <w:proofErr w:type="spellStart"/>
      <w:r w:rsidRPr="00191865">
        <w:rPr>
          <w:rFonts w:ascii="Times New Roman" w:hAnsi="Times New Roman" w:cs="Times New Roman"/>
          <w:sz w:val="24"/>
          <w:szCs w:val="24"/>
        </w:rPr>
        <w:t>Inkyo</w:t>
      </w:r>
      <w:proofErr w:type="spellEnd"/>
      <w:r w:rsidRPr="00191865">
        <w:rPr>
          <w:rFonts w:ascii="Times New Roman" w:hAnsi="Times New Roman" w:cs="Times New Roman"/>
          <w:sz w:val="24"/>
          <w:szCs w:val="24"/>
        </w:rPr>
        <w:t xml:space="preserve"> Cheong, Minister of Trade of the Republic of Korea.</w:t>
      </w:r>
      <w:r w:rsidRPr="00191865">
        <w:rPr>
          <w:rFonts w:ascii="Times New Roman" w:eastAsia="바탕" w:hAnsi="Times New Roman" w:cs="Times New Roman"/>
          <w:sz w:val="24"/>
          <w:szCs w:val="24"/>
        </w:rPr>
        <w:t xml:space="preserve"> </w:t>
      </w:r>
      <w:r w:rsidRPr="00191865">
        <w:rPr>
          <w:rFonts w:ascii="Times New Roman" w:hAnsi="Times New Roman" w:cs="Times New Roman"/>
          <w:sz w:val="24"/>
          <w:szCs w:val="24"/>
        </w:rPr>
        <w:t xml:space="preserve">We welcome the participation of the Director-General of the World Trade Organization (WTO), the Deputy Secretary-General of the </w:t>
      </w:r>
      <w:proofErr w:type="spellStart"/>
      <w:r w:rsidRPr="00191865">
        <w:rPr>
          <w:rFonts w:ascii="Times New Roman" w:hAnsi="Times New Roman" w:cs="Times New Roman"/>
          <w:sz w:val="24"/>
          <w:szCs w:val="24"/>
        </w:rPr>
        <w:t>Organisation</w:t>
      </w:r>
      <w:proofErr w:type="spellEnd"/>
      <w:r w:rsidRPr="00191865">
        <w:rPr>
          <w:rFonts w:ascii="Times New Roman" w:hAnsi="Times New Roman" w:cs="Times New Roman"/>
          <w:sz w:val="24"/>
          <w:szCs w:val="24"/>
        </w:rPr>
        <w:t xml:space="preserve"> for Economic Co-operation and Development (OECD), the APEC Business Advisory Council (ABAC), the Association of Southeast Asian Nations (ASEAN), and the Pacific Economic Cooperation Council (PECC).</w:t>
      </w:r>
      <w:bookmarkStart w:id="2" w:name="_Hlk197553623"/>
      <w:bookmarkEnd w:id="1"/>
    </w:p>
    <w:p w14:paraId="0AB6B9EB" w14:textId="77777777" w:rsidR="00A14349" w:rsidRPr="00191865" w:rsidRDefault="00A14349" w:rsidP="008D313C">
      <w:pPr>
        <w:wordWrap/>
        <w:spacing w:after="0" w:line="276" w:lineRule="auto"/>
        <w:ind w:left="240" w:hangingChars="100" w:hanging="240"/>
        <w:rPr>
          <w:rFonts w:ascii="Times New Roman" w:hAnsi="Times New Roman" w:cs="Times New Roman"/>
          <w:sz w:val="24"/>
          <w:szCs w:val="24"/>
        </w:rPr>
      </w:pPr>
    </w:p>
    <w:p w14:paraId="6799DE36" w14:textId="77777777" w:rsidR="00A46ED2"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Taking inspiration from Korea's APEC 2025 theme "Building a Sustainable Tomorrow", we have advanced APEC’s agenda through three thematic priorities: Connectivity through Multilateral Trading System, Artificial Intelligence (AI) Innovation for Trade Facilitation, and Prosperity through Sustainable Trade.</w:t>
      </w:r>
    </w:p>
    <w:p w14:paraId="20BF2EF8" w14:textId="77777777" w:rsidR="00A46ED2" w:rsidRPr="00191865" w:rsidRDefault="00A46ED2" w:rsidP="00FB5EE2">
      <w:pPr>
        <w:wordWrap/>
        <w:spacing w:after="0" w:line="276" w:lineRule="auto"/>
        <w:rPr>
          <w:rFonts w:ascii="Times New Roman" w:hAnsi="Times New Roman" w:cs="Times New Roman"/>
          <w:sz w:val="24"/>
          <w:szCs w:val="24"/>
        </w:rPr>
      </w:pPr>
    </w:p>
    <w:p w14:paraId="7304037A" w14:textId="11E61E3D" w:rsidR="00A1225B" w:rsidRPr="00191865" w:rsidRDefault="00A14349" w:rsidP="00A1225B">
      <w:pPr>
        <w:pStyle w:val="a6"/>
        <w:numPr>
          <w:ilvl w:val="0"/>
          <w:numId w:val="3"/>
        </w:numPr>
        <w:wordWrap/>
        <w:spacing w:after="0" w:line="276" w:lineRule="auto"/>
        <w:rPr>
          <w:rFonts w:ascii="Times New Roman" w:hAnsi="Times New Roman" w:cs="Times New Roman"/>
          <w:sz w:val="24"/>
          <w:szCs w:val="24"/>
        </w:rPr>
      </w:pPr>
      <w:r w:rsidRPr="008D313C">
        <w:rPr>
          <w:rFonts w:ascii="Times New Roman" w:hAnsi="Times New Roman" w:cs="Times New Roman"/>
          <w:sz w:val="24"/>
          <w:szCs w:val="24"/>
        </w:rPr>
        <w:t>We remain committed to the Putrajaya Vision 2040, including through the implementation of the Aotearoa Plan of Action to build an open, dynamic, resilient, and peaceful Asia-Pacific community for the prosperity of all our people and future generations</w:t>
      </w:r>
      <w:r w:rsidRPr="008D313C">
        <w:rPr>
          <w:rFonts w:ascii="Times New Roman" w:hAnsi="Times New Roman" w:cs="Times New Roman"/>
          <w:color w:val="000000" w:themeColor="text1"/>
          <w:sz w:val="24"/>
          <w:szCs w:val="24"/>
        </w:rPr>
        <w:t>.</w:t>
      </w:r>
      <w:r w:rsidRPr="00191865">
        <w:rPr>
          <w:rFonts w:ascii="Times New Roman" w:hAnsi="Times New Roman" w:cs="Times New Roman"/>
          <w:color w:val="000000" w:themeColor="text1"/>
          <w:sz w:val="24"/>
          <w:szCs w:val="24"/>
        </w:rPr>
        <w:t xml:space="preserve"> We are concerned with the fundamental challenges faced by the global trading system.</w:t>
      </w:r>
      <w:r w:rsidR="007D5981" w:rsidRPr="00191865">
        <w:rPr>
          <w:rFonts w:ascii="Times New Roman" w:hAnsi="Times New Roman" w:cs="Times New Roman"/>
          <w:color w:val="000000" w:themeColor="text1"/>
          <w:sz w:val="24"/>
          <w:szCs w:val="24"/>
        </w:rPr>
        <w:t xml:space="preserve"> </w:t>
      </w:r>
      <w:r w:rsidRPr="00191865">
        <w:rPr>
          <w:rFonts w:ascii="Times New Roman" w:hAnsi="Times New Roman" w:cs="Times New Roman"/>
          <w:color w:val="000000" w:themeColor="text1"/>
          <w:sz w:val="24"/>
          <w:szCs w:val="24"/>
        </w:rPr>
        <w:t>We remain comm</w:t>
      </w:r>
      <w:r w:rsidRPr="00191865">
        <w:rPr>
          <w:rFonts w:ascii="Times New Roman" w:hAnsi="Times New Roman" w:cs="Times New Roman"/>
          <w:sz w:val="24"/>
          <w:szCs w:val="24"/>
        </w:rPr>
        <w:t xml:space="preserve">itted to APEC as the premier forum for regional economic cooperation and emphasize the importance of its role in bringing us together to address the economic challenges facing our region and create a more resilient and </w:t>
      </w:r>
      <w:r w:rsidRPr="008D313C">
        <w:rPr>
          <w:rFonts w:ascii="Times New Roman" w:hAnsi="Times New Roman" w:cs="Times New Roman"/>
          <w:sz w:val="24"/>
          <w:szCs w:val="24"/>
        </w:rPr>
        <w:t>prosperous Asia-Pacific region</w:t>
      </w:r>
      <w:r w:rsidRPr="00191865">
        <w:rPr>
          <w:rFonts w:ascii="Times New Roman" w:hAnsi="Times New Roman" w:cs="Times New Roman"/>
          <w:sz w:val="24"/>
          <w:szCs w:val="24"/>
        </w:rPr>
        <w:t>.</w:t>
      </w:r>
      <w:bookmarkEnd w:id="2"/>
    </w:p>
    <w:p w14:paraId="247F40D7" w14:textId="77777777" w:rsidR="00A1225B" w:rsidRPr="00191865" w:rsidRDefault="00A1225B" w:rsidP="00A1225B">
      <w:pPr>
        <w:pStyle w:val="a6"/>
        <w:wordWrap/>
        <w:spacing w:after="0" w:line="276" w:lineRule="auto"/>
        <w:ind w:left="440"/>
        <w:rPr>
          <w:rFonts w:ascii="Times New Roman" w:hAnsi="Times New Roman" w:cs="Times New Roman"/>
          <w:sz w:val="24"/>
          <w:szCs w:val="24"/>
        </w:rPr>
      </w:pPr>
    </w:p>
    <w:p w14:paraId="7B46CC14" w14:textId="6AF2DB08" w:rsidR="00A46ED2" w:rsidRPr="00191865" w:rsidRDefault="00191865" w:rsidP="00191865">
      <w:pPr>
        <w:pStyle w:val="a6"/>
        <w:numPr>
          <w:ilvl w:val="0"/>
          <w:numId w:val="3"/>
        </w:numPr>
        <w:wordWrap/>
        <w:spacing w:after="0" w:line="276" w:lineRule="auto"/>
        <w:jc w:val="left"/>
        <w:rPr>
          <w:rFonts w:ascii="Times New Roman" w:hAnsi="Times New Roman" w:cs="Times New Roman"/>
          <w:color w:val="000000" w:themeColor="text1"/>
          <w:sz w:val="24"/>
          <w:szCs w:val="24"/>
        </w:rPr>
      </w:pPr>
      <w:r w:rsidRPr="00191865">
        <w:rPr>
          <w:rFonts w:ascii="Times New Roman" w:hAnsi="Times New Roman" w:cs="Times New Roman"/>
          <w:color w:val="000000" w:themeColor="text1"/>
          <w:sz w:val="24"/>
          <w:szCs w:val="24"/>
        </w:rPr>
        <w:t>We recognize the importance of the WTO to advance trade issues, and acknowledge the agreed upon rules in the WTO as an integral part of the global trading system. We recognize the WTO has challenges and needs meaningful, necessary, and comprehensive reform to improve all its functions, through innovative approaches, to be more relevant and responsive in light of today’s realities.</w:t>
      </w:r>
      <w:r w:rsidR="00B57C79">
        <w:rPr>
          <w:rFonts w:ascii="Times New Roman" w:hAnsi="Times New Roman" w:cs="Times New Roman"/>
          <w:color w:val="000000" w:themeColor="text1"/>
          <w:sz w:val="24"/>
          <w:szCs w:val="24"/>
        </w:rPr>
        <w:t xml:space="preserve"> </w:t>
      </w:r>
      <w:r w:rsidR="00B57C79" w:rsidRPr="00B57C79">
        <w:rPr>
          <w:rFonts w:ascii="Times New Roman" w:hAnsi="Times New Roman" w:cs="Times New Roman"/>
          <w:color w:val="000000" w:themeColor="text1"/>
          <w:sz w:val="24"/>
          <w:szCs w:val="24"/>
        </w:rPr>
        <w:t>We commend the efforts to deepen discussions in the WTO on contemporary trade issues. We intend to work collaboratively through APEC's role as an incubator of ideas and support Members working together to deliver a successful Fourteenth WTO Ministerial Conference (MC14) in March 2026 in Cameroon.</w:t>
      </w:r>
    </w:p>
    <w:p w14:paraId="12F1FCA8" w14:textId="77777777" w:rsidR="00A46ED2" w:rsidRPr="00191865" w:rsidRDefault="00A46ED2" w:rsidP="00FB5EE2">
      <w:pPr>
        <w:wordWrap/>
        <w:spacing w:after="0" w:line="276" w:lineRule="auto"/>
        <w:rPr>
          <w:rFonts w:ascii="Times New Roman" w:hAnsi="Times New Roman" w:cs="Times New Roman"/>
          <w:sz w:val="24"/>
          <w:szCs w:val="24"/>
        </w:rPr>
      </w:pPr>
    </w:p>
    <w:p w14:paraId="61911915" w14:textId="77777777" w:rsidR="00A46ED2"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 xml:space="preserve">We welcome the acceptance by 16 APEC economies of the WTO Agreement on Fisheries Subsidies, and call on remaining economies to complete their domestic procedures, and encourage all WTO Members to conclude negotiations on additional </w:t>
      </w:r>
      <w:r w:rsidRPr="008D313C">
        <w:rPr>
          <w:rFonts w:ascii="Times New Roman" w:hAnsi="Times New Roman" w:cs="Times New Roman"/>
          <w:sz w:val="24"/>
          <w:szCs w:val="24"/>
        </w:rPr>
        <w:t xml:space="preserve">disciplines </w:t>
      </w:r>
      <w:r w:rsidRPr="00191865">
        <w:rPr>
          <w:rFonts w:ascii="Times New Roman" w:hAnsi="Times New Roman" w:cs="Times New Roman"/>
          <w:sz w:val="24"/>
          <w:szCs w:val="24"/>
        </w:rPr>
        <w:t xml:space="preserve">as soon as possible. We </w:t>
      </w:r>
      <w:r w:rsidRPr="008D313C">
        <w:rPr>
          <w:rFonts w:ascii="Times New Roman" w:hAnsi="Times New Roman" w:cs="Times New Roman"/>
          <w:sz w:val="24"/>
          <w:szCs w:val="24"/>
        </w:rPr>
        <w:t>recognize</w:t>
      </w:r>
      <w:r w:rsidRPr="00191865">
        <w:rPr>
          <w:rFonts w:ascii="Times New Roman" w:hAnsi="Times New Roman" w:cs="Times New Roman"/>
          <w:sz w:val="24"/>
          <w:szCs w:val="24"/>
        </w:rPr>
        <w:t xml:space="preserve"> the need for a constructive engagement on agriculture </w:t>
      </w:r>
      <w:r w:rsidRPr="008D313C">
        <w:rPr>
          <w:rFonts w:ascii="Times New Roman" w:hAnsi="Times New Roman" w:cs="Times New Roman"/>
          <w:sz w:val="24"/>
          <w:szCs w:val="24"/>
        </w:rPr>
        <w:t>at the WTO</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also note the extension of the moratorium on customs duties on electronic transmissions as decided at MC13.</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note the importance of enhancing predictability for the development of the digital economy.</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welcome efforts to continue to reinvigorate work under the Work Program on Electronic Commerce.</w:t>
      </w:r>
    </w:p>
    <w:p w14:paraId="220A269E" w14:textId="77777777" w:rsidR="00A46ED2" w:rsidRPr="00191865" w:rsidRDefault="00A46ED2" w:rsidP="00FB5EE2">
      <w:pPr>
        <w:wordWrap/>
        <w:spacing w:after="0" w:line="276" w:lineRule="auto"/>
        <w:rPr>
          <w:rFonts w:ascii="Times New Roman" w:hAnsi="Times New Roman" w:cs="Times New Roman"/>
          <w:sz w:val="24"/>
          <w:szCs w:val="24"/>
        </w:rPr>
      </w:pPr>
    </w:p>
    <w:p w14:paraId="531949C9" w14:textId="77777777" w:rsidR="00A46ED2"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We recognize the positive role of plurilateral negotiations at the WTO, including the Joint Statement Initiatives (JSIs)</w:t>
      </w:r>
      <w:r w:rsidRPr="008D313C">
        <w:rPr>
          <w:rFonts w:ascii="Times New Roman" w:hAnsi="Times New Roman" w:cs="Times New Roman"/>
          <w:sz w:val="24"/>
          <w:szCs w:val="24"/>
        </w:rPr>
        <w:t>,</w:t>
      </w:r>
      <w:r w:rsidRPr="00191865">
        <w:rPr>
          <w:rFonts w:ascii="Times New Roman" w:hAnsi="Times New Roman" w:cs="Times New Roman"/>
          <w:sz w:val="24"/>
          <w:szCs w:val="24"/>
        </w:rPr>
        <w:t xml:space="preserve"> for advancing issues of interest to Members and to make the WTO more relevant</w:t>
      </w:r>
      <w:r w:rsidRPr="008D313C">
        <w:rPr>
          <w:rFonts w:ascii="Times New Roman" w:hAnsi="Times New Roman" w:cs="Times New Roman"/>
          <w:sz w:val="24"/>
          <w:szCs w:val="24"/>
        </w:rPr>
        <w:t>.</w:t>
      </w:r>
      <w:r w:rsidRPr="00191865">
        <w:rPr>
          <w:rFonts w:ascii="Times New Roman" w:hAnsi="Times New Roman" w:cs="Times New Roman"/>
          <w:sz w:val="24"/>
          <w:szCs w:val="24"/>
        </w:rPr>
        <w:t xml:space="preserve"> We </w:t>
      </w:r>
      <w:r w:rsidRPr="008D313C">
        <w:rPr>
          <w:rFonts w:ascii="Times New Roman" w:hAnsi="Times New Roman" w:cs="Times New Roman"/>
          <w:sz w:val="24"/>
          <w:szCs w:val="24"/>
        </w:rPr>
        <w:t>welcome</w:t>
      </w:r>
      <w:r w:rsidRPr="00191865">
        <w:rPr>
          <w:rFonts w:ascii="Times New Roman" w:hAnsi="Times New Roman" w:cs="Times New Roman"/>
          <w:sz w:val="24"/>
          <w:szCs w:val="24"/>
        </w:rPr>
        <w:t xml:space="preserve"> the progress made and emphasize their roles to address </w:t>
      </w:r>
      <w:r w:rsidRPr="008D313C">
        <w:rPr>
          <w:rFonts w:ascii="Times New Roman" w:hAnsi="Times New Roman" w:cs="Times New Roman"/>
          <w:sz w:val="24"/>
          <w:szCs w:val="24"/>
        </w:rPr>
        <w:t xml:space="preserve">contemporary </w:t>
      </w:r>
      <w:r w:rsidRPr="00191865">
        <w:rPr>
          <w:rFonts w:ascii="Times New Roman" w:hAnsi="Times New Roman" w:cs="Times New Roman"/>
          <w:sz w:val="24"/>
          <w:szCs w:val="24"/>
        </w:rPr>
        <w:t>trade issues, foster new ideas, facilitate economic growth, and build momentum toward multilateral outcomes. We note the efforts of participating Members of the WTO JSIs to incorporate the Investment Facilitation for Development Agreement and the Agreement on Electronic Commerce into the WTO legal framework.</w:t>
      </w:r>
      <w:r w:rsidRPr="00191865">
        <w:rPr>
          <w:rFonts w:ascii="Times New Roman" w:eastAsia="바탕" w:hAnsi="Times New Roman" w:cs="Times New Roman"/>
          <w:sz w:val="24"/>
          <w:szCs w:val="24"/>
        </w:rPr>
        <w:t xml:space="preserve"> </w:t>
      </w:r>
      <w:r w:rsidRPr="00191865">
        <w:rPr>
          <w:rFonts w:ascii="Times New Roman" w:hAnsi="Times New Roman" w:cs="Times New Roman"/>
          <w:sz w:val="24"/>
          <w:szCs w:val="24"/>
        </w:rPr>
        <w:t xml:space="preserve">We </w:t>
      </w:r>
      <w:r w:rsidRPr="008D313C">
        <w:rPr>
          <w:rFonts w:ascii="Times New Roman" w:hAnsi="Times New Roman" w:cs="Times New Roman"/>
          <w:sz w:val="24"/>
          <w:szCs w:val="24"/>
        </w:rPr>
        <w:t>note the Statement of the APEC Committee on Trade and Investment together with the AP</w:t>
      </w:r>
      <w:bookmarkStart w:id="3" w:name="_GoBack"/>
      <w:bookmarkEnd w:id="3"/>
      <w:r w:rsidRPr="008D313C">
        <w:rPr>
          <w:rFonts w:ascii="Times New Roman" w:hAnsi="Times New Roman" w:cs="Times New Roman"/>
          <w:sz w:val="24"/>
          <w:szCs w:val="24"/>
        </w:rPr>
        <w:t xml:space="preserve">EC Investment Experts’ Group Supporting the Investment Facilitation for Development Agreement, which reaffirms APEC’s </w:t>
      </w:r>
      <w:r w:rsidRPr="008D313C">
        <w:rPr>
          <w:rFonts w:ascii="Times New Roman" w:hAnsi="Times New Roman" w:cs="Times New Roman"/>
          <w:sz w:val="24"/>
          <w:szCs w:val="24"/>
        </w:rPr>
        <w:lastRenderedPageBreak/>
        <w:t>strong commitment to a more transparent, predictable and business-friendly investment environment.</w:t>
      </w:r>
    </w:p>
    <w:p w14:paraId="766182EE" w14:textId="77777777" w:rsidR="00A46ED2" w:rsidRPr="00191865" w:rsidRDefault="00A46ED2" w:rsidP="00FB5EE2">
      <w:pPr>
        <w:wordWrap/>
        <w:spacing w:after="0" w:line="276" w:lineRule="auto"/>
        <w:rPr>
          <w:rFonts w:ascii="Times New Roman" w:hAnsi="Times New Roman" w:cs="Times New Roman"/>
          <w:sz w:val="24"/>
          <w:szCs w:val="24"/>
        </w:rPr>
      </w:pPr>
    </w:p>
    <w:p w14:paraId="7A8B1E7B" w14:textId="24877917" w:rsidR="00A46ED2"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 xml:space="preserve">Recognizing its importance to APEC, </w:t>
      </w:r>
      <w:r w:rsidRPr="008D313C">
        <w:rPr>
          <w:rFonts w:ascii="Times New Roman" w:hAnsi="Times New Roman" w:cs="Times New Roman"/>
          <w:sz w:val="24"/>
          <w:szCs w:val="24"/>
        </w:rPr>
        <w:t>we reaffirm our</w:t>
      </w:r>
      <w:r w:rsidRPr="00191865">
        <w:rPr>
          <w:rFonts w:ascii="Times New Roman" w:hAnsi="Times New Roman" w:cs="Times New Roman"/>
          <w:sz w:val="24"/>
          <w:szCs w:val="24"/>
        </w:rPr>
        <w:t xml:space="preserve"> shared </w:t>
      </w:r>
      <w:r w:rsidRPr="008D313C">
        <w:rPr>
          <w:rFonts w:ascii="Times New Roman" w:hAnsi="Times New Roman" w:cs="Times New Roman"/>
          <w:sz w:val="24"/>
          <w:szCs w:val="24"/>
        </w:rPr>
        <w:t xml:space="preserve">commitment to advancing economic integration in the Asia-Pacific region in a manner that is market-driven, including through the work on </w:t>
      </w:r>
      <w:r w:rsidRPr="00191865">
        <w:rPr>
          <w:rFonts w:ascii="Times New Roman" w:hAnsi="Times New Roman" w:cs="Times New Roman"/>
          <w:sz w:val="24"/>
          <w:szCs w:val="24"/>
        </w:rPr>
        <w:t xml:space="preserve">Free Trade Area of the Asia-Pacific (FTAAP) </w:t>
      </w:r>
      <w:r w:rsidRPr="008D313C">
        <w:rPr>
          <w:rFonts w:ascii="Times New Roman" w:hAnsi="Times New Roman" w:cs="Times New Roman"/>
          <w:sz w:val="24"/>
          <w:szCs w:val="24"/>
        </w:rPr>
        <w:t>agenda</w:t>
      </w:r>
      <w:r w:rsidRPr="00191865">
        <w:rPr>
          <w:rFonts w:ascii="Times New Roman" w:hAnsi="Times New Roman" w:cs="Times New Roman"/>
          <w:sz w:val="24"/>
          <w:szCs w:val="24"/>
        </w:rPr>
        <w:t xml:space="preserve">. We welcome the study conducted by the APEC Policy Support Unit (PSU) on areas of convergence and divergence in trade agreements in the region and are committed to begin work this year </w:t>
      </w:r>
      <w:r w:rsidRPr="00191865">
        <w:rPr>
          <w:rFonts w:ascii="Times New Roman" w:eastAsia="Yu Mincho" w:hAnsi="Times New Roman" w:cs="Times New Roman"/>
          <w:sz w:val="24"/>
          <w:szCs w:val="24"/>
        </w:rPr>
        <w:t xml:space="preserve">in the areas of work on convergence and divergence identified in the </w:t>
      </w:r>
      <w:proofErr w:type="spellStart"/>
      <w:r w:rsidRPr="00191865">
        <w:rPr>
          <w:rFonts w:ascii="Times New Roman" w:eastAsia="Yu Mincho" w:hAnsi="Times New Roman" w:cs="Times New Roman"/>
          <w:sz w:val="24"/>
          <w:szCs w:val="24"/>
        </w:rPr>
        <w:t>Ichma</w:t>
      </w:r>
      <w:proofErr w:type="spellEnd"/>
      <w:r w:rsidRPr="00191865">
        <w:rPr>
          <w:rFonts w:ascii="Times New Roman" w:eastAsia="Yu Mincho" w:hAnsi="Times New Roman" w:cs="Times New Roman"/>
          <w:sz w:val="24"/>
          <w:szCs w:val="24"/>
        </w:rPr>
        <w:t xml:space="preserve"> Statement on A New Look at the FTAAP.</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encourage further efforts and concrete work programs to enhance experience sharing, capacity building, and technical cooperation efforts.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welcome continued efforts in implementing the Capacity Building Needs Initiative (CBNI), aimed at strengthening member economies' readiness to participate in high standard and comprehensive undertakings.</w:t>
      </w:r>
      <w:bookmarkStart w:id="4" w:name="_Hlk197816913"/>
    </w:p>
    <w:p w14:paraId="6DBBC0BB" w14:textId="77777777" w:rsidR="00A46ED2" w:rsidRPr="00191865" w:rsidRDefault="00A46ED2" w:rsidP="00FB5EE2">
      <w:pPr>
        <w:wordWrap/>
        <w:spacing w:after="0" w:line="276" w:lineRule="auto"/>
        <w:rPr>
          <w:rFonts w:ascii="Times New Roman" w:hAnsi="Times New Roman" w:cs="Times New Roman"/>
          <w:sz w:val="24"/>
          <w:szCs w:val="24"/>
        </w:rPr>
      </w:pPr>
    </w:p>
    <w:p w14:paraId="12B0EBD3" w14:textId="680D0D03" w:rsidR="00A46ED2"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We commit to ensuring that the benefits of digital transformation are accessible to all including by bridging</w:t>
      </w:r>
      <w:r w:rsidRPr="008D313C">
        <w:rPr>
          <w:rFonts w:ascii="Times New Roman" w:hAnsi="Times New Roman" w:cs="Times New Roman"/>
          <w:sz w:val="24"/>
          <w:szCs w:val="24"/>
        </w:rPr>
        <w:t xml:space="preserve"> </w:t>
      </w:r>
      <w:r w:rsidRPr="00191865">
        <w:rPr>
          <w:rFonts w:ascii="Times New Roman" w:hAnsi="Times New Roman" w:cs="Times New Roman"/>
          <w:sz w:val="24"/>
          <w:szCs w:val="24"/>
        </w:rPr>
        <w:t>digital divides and creating a safer digital ecosystem. We recognize the important role of the digitalization of the economy as a driver for innovation, productivity and economic growth across the region. As we approach the completion of the Work Program for the Implementation of the APEC Internet and Digital Economy Roadmap (AIDER) in 2025, we recognize the need to systematically develop an approach for the continued advancement of AIDER’s objective beyond 2025</w:t>
      </w:r>
      <w:r w:rsidRPr="008D313C">
        <w:rPr>
          <w:rFonts w:ascii="Times New Roman" w:hAnsi="Times New Roman" w:cs="Times New Roman"/>
          <w:sz w:val="24"/>
          <w:szCs w:val="24"/>
        </w:rPr>
        <w:t>,</w:t>
      </w:r>
      <w:r w:rsidRPr="00191865">
        <w:rPr>
          <w:rFonts w:ascii="Times New Roman" w:hAnsi="Times New Roman" w:cs="Times New Roman"/>
          <w:sz w:val="24"/>
          <w:szCs w:val="24"/>
        </w:rPr>
        <w:t xml:space="preserve"> in a way that addresses</w:t>
      </w:r>
      <w:r w:rsidRPr="008D313C">
        <w:rPr>
          <w:rFonts w:ascii="Times New Roman" w:hAnsi="Times New Roman" w:cs="Times New Roman"/>
          <w:sz w:val="24"/>
          <w:szCs w:val="24"/>
        </w:rPr>
        <w:t xml:space="preserve"> </w:t>
      </w:r>
      <w:r w:rsidRPr="00191865">
        <w:rPr>
          <w:rFonts w:ascii="Times New Roman" w:hAnsi="Times New Roman" w:cs="Times New Roman"/>
          <w:sz w:val="24"/>
          <w:szCs w:val="24"/>
        </w:rPr>
        <w:t xml:space="preserve">emerging challenges and opportunities in the rapidly evolving digital landscape and its impact on trade and investment. We encourage economies to strengthen digital infrastructure and accelerate interoperability to facilitate digital transformation. We </w:t>
      </w:r>
      <w:r w:rsidRPr="008D313C">
        <w:rPr>
          <w:rFonts w:ascii="Times New Roman" w:hAnsi="Times New Roman" w:cs="Times New Roman"/>
          <w:sz w:val="24"/>
          <w:szCs w:val="24"/>
        </w:rPr>
        <w:t xml:space="preserve">will </w:t>
      </w:r>
      <w:r w:rsidRPr="00191865">
        <w:rPr>
          <w:rFonts w:ascii="Times New Roman" w:hAnsi="Times New Roman" w:cs="Times New Roman"/>
          <w:sz w:val="24"/>
          <w:szCs w:val="24"/>
        </w:rPr>
        <w:t>continue our cooperation on facilitating the flow of data and strengthening business and consumer trust in digital transactions.</w:t>
      </w:r>
    </w:p>
    <w:p w14:paraId="57B9295E" w14:textId="77777777" w:rsidR="00294E26" w:rsidRDefault="00294E26" w:rsidP="00294E26">
      <w:pPr>
        <w:pStyle w:val="a6"/>
        <w:wordWrap/>
        <w:spacing w:after="0" w:line="276" w:lineRule="auto"/>
        <w:ind w:left="440"/>
        <w:rPr>
          <w:rFonts w:ascii="Times New Roman" w:hAnsi="Times New Roman" w:cs="Times New Roman"/>
          <w:sz w:val="24"/>
          <w:szCs w:val="24"/>
        </w:rPr>
      </w:pPr>
    </w:p>
    <w:p w14:paraId="148DD426" w14:textId="1ADDD52F" w:rsidR="00294E26" w:rsidRPr="00191865" w:rsidRDefault="00294E26" w:rsidP="00FB5EE2">
      <w:pPr>
        <w:pStyle w:val="a6"/>
        <w:numPr>
          <w:ilvl w:val="0"/>
          <w:numId w:val="3"/>
        </w:numPr>
        <w:wordWrap/>
        <w:spacing w:after="0" w:line="276" w:lineRule="auto"/>
        <w:rPr>
          <w:rFonts w:ascii="Times New Roman" w:hAnsi="Times New Roman" w:cs="Times New Roman"/>
          <w:sz w:val="24"/>
          <w:szCs w:val="24"/>
        </w:rPr>
      </w:pPr>
      <w:r w:rsidRPr="001024E6">
        <w:rPr>
          <w:rFonts w:ascii="Times New Roman" w:hAnsi="Times New Roman" w:cs="Times New Roman"/>
          <w:sz w:val="24"/>
          <w:szCs w:val="24"/>
        </w:rPr>
        <w:t>We are committed to promoting intellectual property rights in advancing innovation and creativity through relevant policies and programs. We recognize the importance of engagement with traditional knowledge holders, such as Indigenous Peoples as appropriate.</w:t>
      </w:r>
    </w:p>
    <w:p w14:paraId="4D2FF3E9" w14:textId="77777777" w:rsidR="00A46ED2" w:rsidRPr="00EA7F7A" w:rsidRDefault="00A46ED2" w:rsidP="00FB5EE2">
      <w:pPr>
        <w:pStyle w:val="a6"/>
        <w:wordWrap/>
        <w:spacing w:after="0" w:line="276" w:lineRule="auto"/>
        <w:ind w:left="440"/>
        <w:rPr>
          <w:rFonts w:ascii="Times New Roman" w:hAnsi="Times New Roman" w:cs="Times New Roman"/>
          <w:sz w:val="24"/>
          <w:szCs w:val="24"/>
        </w:rPr>
      </w:pPr>
    </w:p>
    <w:p w14:paraId="5EFA3EB8" w14:textId="77777777" w:rsidR="00A46ED2"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 xml:space="preserve">We are committed to promoting the cross-border recognition of electronic trade-related documents, such as the electronic bills of lading and electronic invoices, through measures to facilitate paperless trade while enhancing capacity building initiatives and dialogues to support these efforts. </w:t>
      </w:r>
      <w:r w:rsidRPr="008D313C">
        <w:rPr>
          <w:rFonts w:ascii="Times New Roman" w:hAnsi="Times New Roman" w:cs="Times New Roman"/>
          <w:sz w:val="24"/>
          <w:szCs w:val="24"/>
        </w:rPr>
        <w:t xml:space="preserve">In this regard, we </w:t>
      </w:r>
      <w:r w:rsidRPr="00191865">
        <w:rPr>
          <w:rFonts w:ascii="Times New Roman" w:hAnsi="Times New Roman" w:cs="Times New Roman"/>
          <w:sz w:val="24"/>
          <w:szCs w:val="24"/>
        </w:rPr>
        <w:t>acknowledge</w:t>
      </w:r>
      <w:r w:rsidRPr="008D313C">
        <w:rPr>
          <w:rFonts w:ascii="Times New Roman" w:hAnsi="Times New Roman" w:cs="Times New Roman"/>
          <w:sz w:val="24"/>
          <w:szCs w:val="24"/>
        </w:rPr>
        <w:t xml:space="preserve"> benefits of public</w:t>
      </w:r>
      <w:r w:rsidRPr="00191865">
        <w:rPr>
          <w:rFonts w:ascii="Times New Roman" w:hAnsi="Times New Roman" w:cs="Times New Roman"/>
          <w:sz w:val="24"/>
          <w:szCs w:val="24"/>
        </w:rPr>
        <w:t>-</w:t>
      </w:r>
      <w:r w:rsidRPr="008D313C">
        <w:rPr>
          <w:rFonts w:ascii="Times New Roman" w:hAnsi="Times New Roman" w:cs="Times New Roman"/>
          <w:sz w:val="24"/>
          <w:szCs w:val="24"/>
        </w:rPr>
        <w:t xml:space="preserve">private collaboration and look </w:t>
      </w:r>
      <w:r w:rsidRPr="00191865">
        <w:rPr>
          <w:rFonts w:ascii="Times New Roman" w:hAnsi="Times New Roman" w:cs="Times New Roman"/>
          <w:sz w:val="24"/>
          <w:szCs w:val="24"/>
        </w:rPr>
        <w:t>forward</w:t>
      </w:r>
      <w:r w:rsidRPr="008D313C">
        <w:rPr>
          <w:rFonts w:ascii="Times New Roman" w:hAnsi="Times New Roman" w:cs="Times New Roman"/>
          <w:sz w:val="24"/>
          <w:szCs w:val="24"/>
        </w:rPr>
        <w:t xml:space="preserve"> to further exploratory discussions on such collaboration for </w:t>
      </w:r>
      <w:r w:rsidRPr="00191865">
        <w:rPr>
          <w:rFonts w:ascii="Times New Roman" w:hAnsi="Times New Roman" w:cs="Times New Roman"/>
          <w:sz w:val="24"/>
          <w:szCs w:val="24"/>
        </w:rPr>
        <w:t>p</w:t>
      </w:r>
      <w:r w:rsidRPr="008D313C">
        <w:rPr>
          <w:rFonts w:ascii="Times New Roman" w:hAnsi="Times New Roman" w:cs="Times New Roman"/>
          <w:sz w:val="24"/>
          <w:szCs w:val="24"/>
        </w:rPr>
        <w:t xml:space="preserve">aperless </w:t>
      </w:r>
      <w:r w:rsidRPr="00191865">
        <w:rPr>
          <w:rFonts w:ascii="Times New Roman" w:hAnsi="Times New Roman" w:cs="Times New Roman"/>
          <w:sz w:val="24"/>
          <w:szCs w:val="24"/>
        </w:rPr>
        <w:t>t</w:t>
      </w:r>
      <w:r w:rsidRPr="008D313C">
        <w:rPr>
          <w:rFonts w:ascii="Times New Roman" w:hAnsi="Times New Roman" w:cs="Times New Roman"/>
          <w:sz w:val="24"/>
          <w:szCs w:val="24"/>
        </w:rPr>
        <w:t>rade</w:t>
      </w:r>
      <w:r w:rsidRPr="00191865">
        <w:rPr>
          <w:rFonts w:ascii="Times New Roman" w:hAnsi="Times New Roman" w:cs="Times New Roman"/>
          <w:sz w:val="24"/>
          <w:szCs w:val="24"/>
        </w:rPr>
        <w:t xml:space="preserve">. We encourage working towards aligning our legal frameworks with the UNCITRAL Model Law on Electronic Transferable Records (MLETR) noting the different levels of readiness and capacity. </w:t>
      </w:r>
    </w:p>
    <w:p w14:paraId="1C136426" w14:textId="77777777" w:rsidR="00A46ED2" w:rsidRPr="00191865" w:rsidRDefault="00A46ED2" w:rsidP="00FB5EE2">
      <w:pPr>
        <w:pStyle w:val="a6"/>
        <w:wordWrap/>
        <w:spacing w:after="0" w:line="276" w:lineRule="auto"/>
        <w:ind w:left="440"/>
        <w:rPr>
          <w:rFonts w:ascii="Times New Roman" w:hAnsi="Times New Roman" w:cs="Times New Roman"/>
          <w:sz w:val="24"/>
          <w:szCs w:val="24"/>
        </w:rPr>
      </w:pPr>
    </w:p>
    <w:p w14:paraId="26804837" w14:textId="0E497895" w:rsidR="00A46ED2"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 xml:space="preserve">We recognize AI’s potential to fundamentally reshape the landscape of international trade. </w:t>
      </w:r>
      <w:r w:rsidRPr="008D313C">
        <w:rPr>
          <w:rFonts w:ascii="Times New Roman" w:hAnsi="Times New Roman" w:cs="Times New Roman"/>
          <w:sz w:val="24"/>
          <w:szCs w:val="24"/>
        </w:rPr>
        <w:t>We acknowledge the importance of adopting AI-enabled procedures that contribute to trade facilitation, particularly with enhancing customs procedures.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encourage economies to share information on domestic approaches to relevant AI-related policy with the private sector, including micro, small and medium-sized enterprises (MSMEs), to help businesses identify opportunities and risks as well as improve competitiveness.</w:t>
      </w:r>
      <w:bookmarkEnd w:id="4"/>
      <w:r w:rsidRPr="00191865">
        <w:rPr>
          <w:rFonts w:ascii="Times New Roman" w:hAnsi="Times New Roman" w:cs="Times New Roman"/>
          <w:sz w:val="24"/>
          <w:szCs w:val="24"/>
        </w:rPr>
        <w:t xml:space="preserve"> </w:t>
      </w:r>
      <w:r w:rsidRPr="008D313C">
        <w:rPr>
          <w:rFonts w:ascii="Times New Roman" w:hAnsi="Times New Roman" w:cs="Times New Roman"/>
          <w:sz w:val="24"/>
          <w:szCs w:val="24"/>
        </w:rPr>
        <w:t>To support ongoing efforts in AI-driven</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transformation and capacity building across the APEC region, we intend to discuss opportunities for voluntary information exchange on trade-related AI standards and technologies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that takes into account and complement</w:t>
      </w:r>
      <w:r w:rsidRPr="00191865">
        <w:rPr>
          <w:rFonts w:ascii="Times New Roman" w:hAnsi="Times New Roman" w:cs="Times New Roman"/>
          <w:sz w:val="24"/>
          <w:szCs w:val="24"/>
        </w:rPr>
        <w:t>s</w:t>
      </w:r>
      <w:r w:rsidRPr="008D313C">
        <w:rPr>
          <w:rFonts w:ascii="Times New Roman" w:hAnsi="Times New Roman" w:cs="Times New Roman"/>
          <w:sz w:val="24"/>
          <w:szCs w:val="24"/>
        </w:rPr>
        <w:t xml:space="preserve"> the work of appropriate specialized international organizations, processes, and other efforts.</w:t>
      </w:r>
    </w:p>
    <w:p w14:paraId="29CF70B8" w14:textId="77777777" w:rsidR="001024E6" w:rsidRPr="00191865" w:rsidRDefault="001024E6" w:rsidP="00FB5EE2">
      <w:pPr>
        <w:pStyle w:val="a6"/>
        <w:rPr>
          <w:rFonts w:ascii="Times New Roman" w:hAnsi="Times New Roman" w:cs="Times New Roman"/>
          <w:sz w:val="24"/>
          <w:szCs w:val="24"/>
        </w:rPr>
      </w:pPr>
    </w:p>
    <w:p w14:paraId="1E5534B3" w14:textId="529EBA8A" w:rsidR="001024E6" w:rsidRPr="00191865" w:rsidRDefault="001024E6" w:rsidP="00FB5EE2">
      <w:pPr>
        <w:pStyle w:val="a6"/>
        <w:numPr>
          <w:ilvl w:val="0"/>
          <w:numId w:val="3"/>
        </w:numPr>
        <w:wordWrap/>
        <w:spacing w:after="0" w:line="276" w:lineRule="auto"/>
        <w:rPr>
          <w:rFonts w:ascii="Times New Roman" w:hAnsi="Times New Roman" w:cs="Times New Roman"/>
          <w:sz w:val="24"/>
          <w:szCs w:val="24"/>
        </w:rPr>
      </w:pPr>
      <w:r w:rsidRPr="008D313C">
        <w:rPr>
          <w:rFonts w:ascii="Times New Roman" w:hAnsi="Times New Roman" w:cs="Times New Roman"/>
          <w:sz w:val="24"/>
          <w:szCs w:val="24"/>
        </w:rPr>
        <w:lastRenderedPageBreak/>
        <w:t>We remain committed to the implementation of the APEC Connectivity Blueprint (2015-2025) by strengthening physical, institutional and people-to-people connectivity as well as taking advantage of digital connectivity. We encourage members to evaluate the current progress of the APEC Connectivity Blueprint and complete its final review in a timely manner.</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reaffirm the value of APEC Business Travel Card (ABTC) in facilitating business mobility and enhancing connectivity. We encourage economies’ uptake and acceptance of the virtual ABTC.</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underscore the importance of implementing the Supply Chain Connectivity Framework Action Plan</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now in its third phase (SCFAP III, 2022-2026)</w:t>
      </w:r>
      <w:r w:rsidRPr="00191865">
        <w:rPr>
          <w:rFonts w:ascii="Times New Roman" w:hAnsi="Times New Roman" w:cs="Times New Roman"/>
          <w:sz w:val="24"/>
          <w:szCs w:val="24"/>
        </w:rPr>
        <w:t>,</w:t>
      </w:r>
      <w:r w:rsidRPr="008D313C">
        <w:rPr>
          <w:rFonts w:ascii="Times New Roman" w:hAnsi="Times New Roman" w:cs="Times New Roman"/>
          <w:sz w:val="24"/>
          <w:szCs w:val="24"/>
        </w:rPr>
        <w:t xml:space="preserve"> to address supply chain chokepoints in the region.</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also reaffirm the importance of quality infrastructure development and investment.</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remain committed to the full and effective implementation of the WTO Trade Facilitation Agreement, recognizing its relevance in an evolving trade environmen</w:t>
      </w:r>
      <w:r w:rsidRPr="00191865">
        <w:rPr>
          <w:rFonts w:ascii="Times New Roman" w:hAnsi="Times New Roman" w:cs="Times New Roman"/>
          <w:sz w:val="24"/>
          <w:szCs w:val="24"/>
        </w:rPr>
        <w:t>t.</w:t>
      </w:r>
    </w:p>
    <w:p w14:paraId="45D37C69" w14:textId="77777777" w:rsidR="001024E6" w:rsidRPr="00191865" w:rsidRDefault="001024E6" w:rsidP="00FB5EE2">
      <w:pPr>
        <w:pStyle w:val="a6"/>
        <w:rPr>
          <w:rFonts w:ascii="Times New Roman" w:hAnsi="Times New Roman" w:cs="Times New Roman"/>
          <w:sz w:val="24"/>
          <w:szCs w:val="24"/>
        </w:rPr>
      </w:pPr>
    </w:p>
    <w:p w14:paraId="5E71ED47" w14:textId="151490DA" w:rsidR="001024E6" w:rsidRPr="00191865" w:rsidRDefault="001024E6"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We acknowledge that global supply chains are facing cross-sectoral challenges. We support efforts to ensure that supply chains issues continue to be discussed within APEC to enhance the resilience of supply chains for sustainable economic growth across the APEC region. We</w:t>
      </w:r>
      <w:r w:rsidRPr="008D313C">
        <w:rPr>
          <w:rFonts w:ascii="Times New Roman" w:hAnsi="Times New Roman" w:cs="Times New Roman"/>
          <w:sz w:val="24"/>
          <w:szCs w:val="24"/>
        </w:rPr>
        <w:t xml:space="preserve"> welcome the discussions of the Forum on Sustainable Supply Chains, and we encourage greater engagement of the private sector in APEC’s supply chain discussions, including through public-private dialogues.</w:t>
      </w:r>
    </w:p>
    <w:p w14:paraId="08A9F3DE" w14:textId="77777777" w:rsidR="001024E6" w:rsidRPr="00191865" w:rsidRDefault="001024E6" w:rsidP="00FB5EE2">
      <w:pPr>
        <w:wordWrap/>
        <w:spacing w:after="0" w:line="276" w:lineRule="auto"/>
        <w:rPr>
          <w:rFonts w:ascii="Times New Roman" w:hAnsi="Times New Roman" w:cs="Times New Roman"/>
          <w:sz w:val="24"/>
          <w:szCs w:val="24"/>
        </w:rPr>
      </w:pPr>
    </w:p>
    <w:p w14:paraId="77620535" w14:textId="77777777" w:rsidR="001024E6"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We recognize the critical role that trade can play in achieving food security, minimizing food supply chain disruptions, and promoting open, fair, transparent, productive, sustainable, resilient</w:t>
      </w:r>
      <w:r w:rsidRPr="008D313C">
        <w:rPr>
          <w:rFonts w:ascii="Times New Roman" w:hAnsi="Times New Roman" w:cs="Times New Roman"/>
          <w:sz w:val="24"/>
          <w:szCs w:val="24"/>
        </w:rPr>
        <w:t>, and</w:t>
      </w:r>
      <w:r w:rsidRPr="00191865">
        <w:rPr>
          <w:rFonts w:ascii="Times New Roman" w:hAnsi="Times New Roman" w:cs="Times New Roman"/>
          <w:sz w:val="24"/>
          <w:szCs w:val="24"/>
        </w:rPr>
        <w:t xml:space="preserve"> innovative agri-food systems</w:t>
      </w:r>
      <w:r w:rsidRPr="008D313C">
        <w:rPr>
          <w:rFonts w:ascii="Times New Roman" w:hAnsi="Times New Roman" w:cs="Times New Roman"/>
          <w:sz w:val="24"/>
          <w:szCs w:val="24"/>
        </w:rPr>
        <w:t xml:space="preserve"> </w:t>
      </w:r>
      <w:r w:rsidRPr="00191865">
        <w:rPr>
          <w:rFonts w:ascii="Times New Roman" w:hAnsi="Times New Roman" w:cs="Times New Roman"/>
          <w:sz w:val="24"/>
          <w:szCs w:val="24"/>
        </w:rPr>
        <w:t>that benefit all. In this regard, we recall our commitment to the goals of the APEC Food Security Roadmap Towards 2030.</w:t>
      </w:r>
    </w:p>
    <w:p w14:paraId="60860714" w14:textId="77777777" w:rsidR="001024E6" w:rsidRPr="00191865" w:rsidRDefault="001024E6" w:rsidP="00FB5EE2">
      <w:pPr>
        <w:wordWrap/>
        <w:spacing w:after="0" w:line="276" w:lineRule="auto"/>
        <w:rPr>
          <w:rFonts w:ascii="Times New Roman" w:hAnsi="Times New Roman" w:cs="Times New Roman"/>
          <w:sz w:val="24"/>
          <w:szCs w:val="24"/>
        </w:rPr>
      </w:pPr>
    </w:p>
    <w:p w14:paraId="0BA6B91B" w14:textId="77777777" w:rsidR="001024E6"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8D313C">
        <w:rPr>
          <w:rFonts w:ascii="Times New Roman" w:hAnsi="Times New Roman" w:cs="Times New Roman"/>
          <w:sz w:val="24"/>
          <w:szCs w:val="24"/>
        </w:rPr>
        <w:t>We encourage economies to implement effective reforms in the services sector given its contribution to economic growth.</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recognize the existing efforts to promote the APEC Services Competitiveness Roadmap (ASCR), which will reach its target date in 2025.</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encourage officials to develop an ambitious framework for a post-2025 services roadmap.</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This framework may take into account the expanding role of digitally enabled services, as well as the impact of emerging technologies.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In this regard, we further encourage cross-fora cooperation to discuss how to foster innovative services.</w:t>
      </w:r>
    </w:p>
    <w:p w14:paraId="1617EA52" w14:textId="77777777" w:rsidR="001024E6" w:rsidRPr="00191865" w:rsidRDefault="001024E6" w:rsidP="00FB5EE2">
      <w:pPr>
        <w:pStyle w:val="a6"/>
        <w:rPr>
          <w:rFonts w:ascii="Times New Roman" w:hAnsi="Times New Roman" w:cs="Times New Roman"/>
          <w:sz w:val="24"/>
          <w:szCs w:val="24"/>
        </w:rPr>
      </w:pPr>
    </w:p>
    <w:p w14:paraId="07A5BC36" w14:textId="77777777" w:rsidR="001024E6"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We welcome the updated Investment Facilitation Action Plan (IFAP) to support the implementation of the Aotearoa Plan of Action. We encourage officials to develop a work program to guide the implementation of the updated plan.</w:t>
      </w:r>
    </w:p>
    <w:p w14:paraId="7C3214D7" w14:textId="77777777" w:rsidR="001024E6" w:rsidRPr="00191865" w:rsidRDefault="001024E6" w:rsidP="00FB5EE2">
      <w:pPr>
        <w:pStyle w:val="a6"/>
        <w:rPr>
          <w:rFonts w:ascii="Times New Roman" w:hAnsi="Times New Roman" w:cs="Times New Roman"/>
          <w:sz w:val="24"/>
          <w:szCs w:val="24"/>
        </w:rPr>
      </w:pPr>
    </w:p>
    <w:p w14:paraId="28AF2096" w14:textId="77777777" w:rsidR="001024E6"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8D313C">
        <w:rPr>
          <w:rFonts w:ascii="Times New Roman" w:hAnsi="Times New Roman" w:cs="Times New Roman"/>
          <w:sz w:val="24"/>
          <w:szCs w:val="24"/>
        </w:rPr>
        <w:t>We emphasize APEC’s important role in promoting structural reforms to increase economic growth.</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reaffirm the value of Good Regulatory Practices (GRP) in fostering transparency, predictability, and efficiency in the regulatory environment.</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 xml:space="preserve">We welcome ongoing efforts to strengthen </w:t>
      </w:r>
      <w:r w:rsidRPr="00191865">
        <w:rPr>
          <w:rFonts w:ascii="Times New Roman" w:eastAsia="바탕" w:hAnsi="Times New Roman" w:cs="Times New Roman"/>
          <w:sz w:val="24"/>
          <w:szCs w:val="24"/>
        </w:rPr>
        <w:t>cooperation on standards</w:t>
      </w:r>
      <w:r w:rsidRPr="008D313C">
        <w:rPr>
          <w:rFonts w:ascii="Times New Roman" w:hAnsi="Times New Roman" w:cs="Times New Roman"/>
          <w:sz w:val="24"/>
          <w:szCs w:val="24"/>
        </w:rPr>
        <w:t>, and streamline conformity assessment procedures across APEC economies.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In this regard, we encourage economies to implement GRP and look forward to sharing innovative approaches that remove unnecessary barriers to trade while maintaining appropriate</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regulatory objectives.</w:t>
      </w:r>
      <w:r w:rsidR="001024E6" w:rsidRPr="00191865">
        <w:rPr>
          <w:rFonts w:ascii="Times New Roman" w:hAnsi="Times New Roman" w:cs="Times New Roman"/>
          <w:sz w:val="24"/>
          <w:szCs w:val="24"/>
        </w:rPr>
        <w:t xml:space="preserve"> </w:t>
      </w:r>
    </w:p>
    <w:p w14:paraId="6181EA70" w14:textId="77777777" w:rsidR="001024E6" w:rsidRPr="00191865" w:rsidRDefault="001024E6" w:rsidP="00FB5EE2">
      <w:pPr>
        <w:pStyle w:val="a6"/>
        <w:rPr>
          <w:rFonts w:ascii="Times New Roman" w:hAnsi="Times New Roman" w:cs="Times New Roman"/>
          <w:sz w:val="24"/>
          <w:szCs w:val="24"/>
        </w:rPr>
      </w:pPr>
    </w:p>
    <w:p w14:paraId="657579BA" w14:textId="72510163" w:rsidR="001024E6"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8D313C">
        <w:rPr>
          <w:rFonts w:ascii="Times New Roman" w:hAnsi="Times New Roman" w:cs="Times New Roman"/>
          <w:sz w:val="24"/>
          <w:szCs w:val="24"/>
        </w:rPr>
        <w:t xml:space="preserve">We recognize the </w:t>
      </w:r>
      <w:r w:rsidRPr="00191865">
        <w:rPr>
          <w:rFonts w:ascii="Times New Roman" w:hAnsi="Times New Roman" w:cs="Times New Roman"/>
          <w:sz w:val="24"/>
          <w:szCs w:val="24"/>
        </w:rPr>
        <w:t>importance</w:t>
      </w:r>
      <w:r w:rsidRPr="008D313C">
        <w:rPr>
          <w:rFonts w:ascii="Times New Roman" w:hAnsi="Times New Roman" w:cs="Times New Roman"/>
          <w:sz w:val="24"/>
          <w:szCs w:val="24"/>
        </w:rPr>
        <w:t xml:space="preserve"> of</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the Bangkok Goals in promoting cooperation to advance circular</w:t>
      </w:r>
      <w:r w:rsidR="001024E6" w:rsidRPr="00191865">
        <w:rPr>
          <w:rFonts w:ascii="Times New Roman" w:hAnsi="Times New Roman" w:cs="Times New Roman"/>
          <w:sz w:val="24"/>
          <w:szCs w:val="24"/>
        </w:rPr>
        <w:t xml:space="preserve"> </w:t>
      </w:r>
      <w:r w:rsidRPr="008D313C">
        <w:rPr>
          <w:rFonts w:ascii="Times New Roman" w:hAnsi="Times New Roman" w:cs="Times New Roman"/>
          <w:sz w:val="24"/>
          <w:szCs w:val="24"/>
        </w:rPr>
        <w:t>economy approaches.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w</w:t>
      </w:r>
      <w:r w:rsidRPr="00191865">
        <w:rPr>
          <w:rFonts w:ascii="Times New Roman" w:hAnsi="Times New Roman" w:cs="Times New Roman"/>
          <w:sz w:val="24"/>
          <w:szCs w:val="24"/>
        </w:rPr>
        <w:t>elcome</w:t>
      </w:r>
      <w:r w:rsidRPr="008D313C">
        <w:rPr>
          <w:rFonts w:ascii="Times New Roman" w:hAnsi="Times New Roman" w:cs="Times New Roman"/>
          <w:sz w:val="24"/>
          <w:szCs w:val="24"/>
        </w:rPr>
        <w:t xml:space="preserve"> the process under way to review the Reference List of Environmental and Environmentally Related Services.</w:t>
      </w:r>
      <w:r w:rsidRPr="00191865">
        <w:rPr>
          <w:rFonts w:ascii="Times New Roman" w:hAnsi="Times New Roman" w:cs="Times New Roman"/>
          <w:sz w:val="24"/>
          <w:szCs w:val="24"/>
        </w:rPr>
        <w:t xml:space="preserve"> We further encourage discussions on how to foster trade in Environmental and Environmentally Related services.</w:t>
      </w:r>
      <w:bookmarkStart w:id="5" w:name="_Hlk198124838"/>
    </w:p>
    <w:p w14:paraId="5526E078" w14:textId="77777777" w:rsidR="001024E6" w:rsidRPr="00191865" w:rsidRDefault="001024E6" w:rsidP="00FB5EE2">
      <w:pPr>
        <w:pStyle w:val="a6"/>
        <w:rPr>
          <w:rFonts w:ascii="Times New Roman" w:hAnsi="Times New Roman" w:cs="Times New Roman"/>
          <w:sz w:val="24"/>
          <w:szCs w:val="24"/>
        </w:rPr>
      </w:pPr>
    </w:p>
    <w:p w14:paraId="314E9CF8" w14:textId="77777777" w:rsidR="001024E6" w:rsidRPr="00191865" w:rsidRDefault="00A14349" w:rsidP="00FB5EE2">
      <w:pPr>
        <w:pStyle w:val="a6"/>
        <w:numPr>
          <w:ilvl w:val="0"/>
          <w:numId w:val="3"/>
        </w:numPr>
        <w:wordWrap/>
        <w:spacing w:after="0" w:line="276" w:lineRule="auto"/>
        <w:rPr>
          <w:rFonts w:ascii="Times New Roman" w:hAnsi="Times New Roman" w:cs="Times New Roman"/>
          <w:sz w:val="24"/>
          <w:szCs w:val="24"/>
        </w:rPr>
      </w:pPr>
      <w:r w:rsidRPr="008D313C">
        <w:rPr>
          <w:rFonts w:ascii="Times New Roman" w:hAnsi="Times New Roman" w:cs="Times New Roman"/>
          <w:sz w:val="24"/>
          <w:szCs w:val="24"/>
        </w:rPr>
        <w:t xml:space="preserve">We commit to taking concerted efforts to empower </w:t>
      </w:r>
      <w:r w:rsidRPr="00191865">
        <w:rPr>
          <w:rFonts w:ascii="Times New Roman" w:hAnsi="Times New Roman" w:cs="Times New Roman"/>
          <w:sz w:val="24"/>
          <w:szCs w:val="24"/>
        </w:rPr>
        <w:t xml:space="preserve">all </w:t>
      </w:r>
      <w:r w:rsidRPr="008D313C">
        <w:rPr>
          <w:rFonts w:ascii="Times New Roman" w:eastAsia="맑은 고딕" w:hAnsi="Times New Roman" w:cs="Times New Roman"/>
          <w:sz w:val="24"/>
          <w:szCs w:val="24"/>
          <w:lang w:eastAsia="en-US"/>
          <w14:ligatures w14:val="standardContextual"/>
        </w:rPr>
        <w:t xml:space="preserve">facing structural </w:t>
      </w:r>
      <w:r w:rsidRPr="008D313C">
        <w:rPr>
          <w:rFonts w:ascii="Times New Roman" w:hAnsi="Times New Roman" w:cs="Times New Roman"/>
          <w:sz w:val="24"/>
          <w:szCs w:val="24"/>
        </w:rPr>
        <w:t xml:space="preserve">barriers to achieve their economic </w:t>
      </w:r>
      <w:r w:rsidRPr="008D313C">
        <w:rPr>
          <w:rFonts w:ascii="Times New Roman" w:hAnsi="Times New Roman" w:cs="Times New Roman"/>
          <w:sz w:val="24"/>
          <w:szCs w:val="24"/>
        </w:rPr>
        <w:lastRenderedPageBreak/>
        <w:t>potential.</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Recognizing important contributions of MSMEs and all people to economic growth, we commit to strengthening all of our people</w:t>
      </w:r>
      <w:r w:rsidRPr="008D313C">
        <w:rPr>
          <w:rFonts w:ascii="Times New Roman" w:hAnsi="Times New Roman" w:cs="Times New Roman" w:hint="eastAsia"/>
          <w:sz w:val="24"/>
          <w:szCs w:val="24"/>
        </w:rPr>
        <w:t>’</w:t>
      </w:r>
      <w:r w:rsidRPr="008D313C">
        <w:rPr>
          <w:rFonts w:ascii="Times New Roman" w:hAnsi="Times New Roman" w:cs="Times New Roman"/>
          <w:sz w:val="24"/>
          <w:szCs w:val="24"/>
        </w:rPr>
        <w:t>s participation in regional and global markets by providing information tools and enhancing access to skill development.</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We recognize the Lima Roadmap to Promote the Transition to the Formal and Global Economies (2025-2040) as an initiative to broaden global trade participation and facilitate MSMEs</w:t>
      </w:r>
      <w:r w:rsidRPr="008D313C">
        <w:rPr>
          <w:rFonts w:ascii="Times New Roman" w:hAnsi="Times New Roman" w:cs="Times New Roman" w:hint="eastAsia"/>
          <w:sz w:val="24"/>
          <w:szCs w:val="24"/>
        </w:rPr>
        <w:t>’</w:t>
      </w:r>
      <w:r w:rsidRPr="008D313C">
        <w:rPr>
          <w:rFonts w:ascii="Times New Roman" w:hAnsi="Times New Roman" w:cs="Times New Roman"/>
          <w:sz w:val="24"/>
          <w:szCs w:val="24"/>
        </w:rPr>
        <w:t xml:space="preserve"> resilient and sustainable growth and integration into the global economy and global supply chains.</w:t>
      </w:r>
      <w:r w:rsidRPr="00191865">
        <w:rPr>
          <w:rFonts w:ascii="Times New Roman" w:hAnsi="Times New Roman" w:cs="Times New Roman"/>
          <w:sz w:val="24"/>
          <w:szCs w:val="24"/>
        </w:rPr>
        <w:t xml:space="preserve"> </w:t>
      </w:r>
      <w:r w:rsidRPr="008D313C">
        <w:rPr>
          <w:rFonts w:ascii="Times New Roman" w:hAnsi="Times New Roman" w:cs="Times New Roman"/>
          <w:sz w:val="24"/>
          <w:szCs w:val="24"/>
        </w:rPr>
        <w:t xml:space="preserve">We reaffirm our dedication to the La Serena Roadmap </w:t>
      </w:r>
      <w:r w:rsidRPr="008D313C">
        <w:rPr>
          <w:rFonts w:ascii="Times New Roman" w:eastAsia="맑은 고딕" w:hAnsi="Times New Roman" w:cs="Times New Roman"/>
          <w:sz w:val="24"/>
          <w:szCs w:val="24"/>
          <w:lang w:eastAsia="en-US"/>
          <w14:ligatures w14:val="standardContextual"/>
        </w:rPr>
        <w:t>for Women and Inclusive Growt</w:t>
      </w:r>
      <w:r w:rsidRPr="00191865">
        <w:rPr>
          <w:rFonts w:ascii="Times New Roman" w:eastAsia="맑은 고딕" w:hAnsi="Times New Roman" w:cs="Times New Roman"/>
          <w:sz w:val="24"/>
          <w:szCs w:val="24"/>
          <w:lang w:eastAsia="en-US"/>
          <w14:ligatures w14:val="standardContextual"/>
        </w:rPr>
        <w:t xml:space="preserve">h </w:t>
      </w:r>
      <w:r w:rsidRPr="008D313C">
        <w:rPr>
          <w:rFonts w:ascii="Times New Roman" w:hAnsi="Times New Roman" w:cs="Times New Roman"/>
          <w:sz w:val="24"/>
          <w:szCs w:val="24"/>
        </w:rPr>
        <w:t>(2019-2030), emphasizing the value of women</w:t>
      </w:r>
      <w:r w:rsidRPr="008D313C">
        <w:rPr>
          <w:rFonts w:ascii="Times New Roman" w:hAnsi="Times New Roman" w:cs="Times New Roman" w:hint="eastAsia"/>
          <w:sz w:val="24"/>
          <w:szCs w:val="24"/>
        </w:rPr>
        <w:t>’</w:t>
      </w:r>
      <w:r w:rsidRPr="008D313C">
        <w:rPr>
          <w:rFonts w:ascii="Times New Roman" w:hAnsi="Times New Roman" w:cs="Times New Roman"/>
          <w:sz w:val="24"/>
          <w:szCs w:val="24"/>
        </w:rPr>
        <w:t>s active engagement in trade and economic activities </w:t>
      </w:r>
      <w:r w:rsidRPr="00191865">
        <w:rPr>
          <w:rFonts w:ascii="Times New Roman" w:hAnsi="Times New Roman" w:cs="Times New Roman"/>
          <w:sz w:val="24"/>
          <w:szCs w:val="24"/>
        </w:rPr>
        <w:t xml:space="preserve">to build a more dynamic Asia-Pacific community. </w:t>
      </w:r>
      <w:r w:rsidRPr="008D313C">
        <w:rPr>
          <w:rFonts w:ascii="Times New Roman" w:eastAsia="맑은 고딕" w:hAnsi="Times New Roman" w:cs="Times New Roman"/>
          <w:sz w:val="24"/>
          <w:szCs w:val="24"/>
        </w:rPr>
        <w:t>We recognize the importance of women’s economic empowerment, including through access to capital, assets, markets, and leadership positions, including in line with relevant APEC initiatives including APE</w:t>
      </w:r>
      <w:r w:rsidRPr="00191865">
        <w:rPr>
          <w:rFonts w:ascii="Times New Roman" w:eastAsia="맑은 고딕" w:hAnsi="Times New Roman" w:cs="Times New Roman"/>
          <w:sz w:val="24"/>
          <w:szCs w:val="24"/>
        </w:rPr>
        <w:t xml:space="preserve">C </w:t>
      </w:r>
      <w:r w:rsidRPr="008D313C">
        <w:rPr>
          <w:rFonts w:ascii="Times New Roman" w:eastAsia="맑은 고딕" w:hAnsi="Times New Roman" w:cs="Times New Roman"/>
          <w:sz w:val="24"/>
          <w:szCs w:val="24"/>
        </w:rPr>
        <w:t>principles and recommendations.</w:t>
      </w:r>
      <w:r w:rsidRPr="00191865">
        <w:rPr>
          <w:rFonts w:ascii="Times New Roman" w:eastAsia="맑은 고딕" w:hAnsi="Times New Roman" w:cs="Times New Roman"/>
          <w:sz w:val="24"/>
          <w:szCs w:val="24"/>
        </w:rPr>
        <w:t xml:space="preserve"> </w:t>
      </w:r>
      <w:r w:rsidRPr="008D313C">
        <w:rPr>
          <w:rFonts w:ascii="Times New Roman" w:eastAsia="맑은 고딕" w:hAnsi="Times New Roman" w:cs="Times New Roman"/>
          <w:sz w:val="24"/>
          <w:szCs w:val="24"/>
        </w:rPr>
        <w:t>W</w:t>
      </w:r>
      <w:r w:rsidRPr="008D313C">
        <w:rPr>
          <w:rFonts w:ascii="Times New Roman" w:hAnsi="Times New Roman" w:cs="Times New Roman"/>
          <w:sz w:val="24"/>
          <w:szCs w:val="24"/>
        </w:rPr>
        <w:t xml:space="preserve">e acknowledge the valuable contributions </w:t>
      </w:r>
      <w:r w:rsidRPr="00191865">
        <w:rPr>
          <w:rFonts w:ascii="Times New Roman" w:hAnsi="Times New Roman" w:cs="Times New Roman"/>
          <w:sz w:val="24"/>
          <w:szCs w:val="24"/>
        </w:rPr>
        <w:t>of Indigenous Peoples as appropriate to economic growth </w:t>
      </w:r>
      <w:r w:rsidRPr="008D313C">
        <w:rPr>
          <w:rFonts w:ascii="Times New Roman" w:hAnsi="Times New Roman" w:cs="Times New Roman"/>
          <w:sz w:val="24"/>
          <w:szCs w:val="24"/>
        </w:rPr>
        <w:t>and welcome further</w:t>
      </w:r>
      <w:r w:rsidRPr="008D313C">
        <w:rPr>
          <w:rFonts w:ascii="Times New Roman" w:eastAsia="맑은 고딕" w:hAnsi="Times New Roman" w:cs="Times New Roman" w:hint="eastAsia"/>
          <w:sz w:val="24"/>
          <w:szCs w:val="24"/>
          <w:lang w:eastAsia="en-US"/>
          <w14:ligatures w14:val="standardContextual"/>
        </w:rPr>
        <w:t> </w:t>
      </w:r>
      <w:r w:rsidRPr="008D313C">
        <w:rPr>
          <w:rFonts w:ascii="Times New Roman" w:eastAsia="맑은 고딕" w:hAnsi="Times New Roman" w:cs="Times New Roman"/>
          <w:sz w:val="24"/>
          <w:szCs w:val="24"/>
          <w:lang w:eastAsia="en-US"/>
          <w14:ligatures w14:val="standardContextual"/>
        </w:rPr>
        <w:t>dialogues and collaborative efforts focused on capacity building</w:t>
      </w:r>
      <w:r w:rsidRPr="008D313C">
        <w:rPr>
          <w:rFonts w:ascii="Times New Roman" w:hAnsi="Times New Roman" w:cs="Times New Roman" w:hint="eastAsia"/>
          <w:sz w:val="24"/>
          <w:szCs w:val="24"/>
        </w:rPr>
        <w:t> </w:t>
      </w:r>
      <w:r w:rsidRPr="008D313C">
        <w:rPr>
          <w:rFonts w:ascii="Times New Roman" w:hAnsi="Times New Roman" w:cs="Times New Roman"/>
          <w:sz w:val="24"/>
          <w:szCs w:val="24"/>
        </w:rPr>
        <w:t>to increase their participation in regional and global markets.</w:t>
      </w:r>
      <w:bookmarkEnd w:id="5"/>
    </w:p>
    <w:p w14:paraId="09E0B5F6" w14:textId="77777777" w:rsidR="001024E6" w:rsidRPr="00191865" w:rsidRDefault="001024E6" w:rsidP="00FB5EE2">
      <w:pPr>
        <w:pStyle w:val="a6"/>
        <w:wordWrap/>
        <w:spacing w:after="0" w:line="276" w:lineRule="auto"/>
        <w:ind w:left="440"/>
        <w:rPr>
          <w:rFonts w:ascii="Times New Roman" w:hAnsi="Times New Roman" w:cs="Times New Roman"/>
          <w:sz w:val="24"/>
          <w:szCs w:val="24"/>
        </w:rPr>
      </w:pPr>
    </w:p>
    <w:p w14:paraId="27CBFC5D" w14:textId="2FE89D21" w:rsidR="00A14349" w:rsidRPr="008D313C" w:rsidRDefault="00A14349" w:rsidP="00FB5EE2">
      <w:pPr>
        <w:pStyle w:val="a6"/>
        <w:numPr>
          <w:ilvl w:val="0"/>
          <w:numId w:val="3"/>
        </w:numPr>
        <w:wordWrap/>
        <w:spacing w:after="0" w:line="276" w:lineRule="auto"/>
        <w:rPr>
          <w:rFonts w:ascii="Times New Roman" w:hAnsi="Times New Roman" w:cs="Times New Roman"/>
          <w:sz w:val="24"/>
          <w:szCs w:val="24"/>
        </w:rPr>
      </w:pPr>
      <w:r w:rsidRPr="00191865">
        <w:rPr>
          <w:rFonts w:ascii="Times New Roman" w:hAnsi="Times New Roman" w:cs="Times New Roman"/>
          <w:sz w:val="24"/>
          <w:szCs w:val="24"/>
        </w:rPr>
        <w:t>We express our appreciation to the Republic of Korea for hosting this meeting and look forward to our</w:t>
      </w:r>
      <w:r w:rsidR="00A46ED2" w:rsidRPr="00191865">
        <w:rPr>
          <w:rFonts w:ascii="Times New Roman" w:hAnsi="Times New Roman" w:cs="Times New Roman"/>
          <w:sz w:val="24"/>
          <w:szCs w:val="24"/>
        </w:rPr>
        <w:t xml:space="preserve"> </w:t>
      </w:r>
      <w:r w:rsidRPr="00191865">
        <w:rPr>
          <w:rFonts w:ascii="Times New Roman" w:hAnsi="Times New Roman" w:cs="Times New Roman"/>
          <w:sz w:val="24"/>
          <w:szCs w:val="24"/>
        </w:rPr>
        <w:t>continued collaboration throughout 2025.</w:t>
      </w:r>
    </w:p>
    <w:p w14:paraId="3700A184" w14:textId="77777777" w:rsidR="0085530A" w:rsidRPr="00191865" w:rsidRDefault="0085530A" w:rsidP="00FB5EE2">
      <w:pPr>
        <w:rPr>
          <w:rFonts w:ascii="Times New Roman" w:hAnsi="Times New Roman" w:cs="Times New Roman"/>
        </w:rPr>
      </w:pPr>
    </w:p>
    <w:sectPr w:rsidR="0085530A" w:rsidRPr="00191865" w:rsidSect="00A14349">
      <w:headerReference w:type="default" r:id="rId8"/>
      <w:footerReference w:type="default" r:id="rId9"/>
      <w:pgSz w:w="11906" w:h="16838"/>
      <w:pgMar w:top="720" w:right="720" w:bottom="720" w:left="720" w:header="567"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F3061" w14:textId="77777777" w:rsidR="00D11DEA" w:rsidRDefault="00D11DEA">
      <w:pPr>
        <w:spacing w:after="0" w:line="240" w:lineRule="auto"/>
      </w:pPr>
      <w:r>
        <w:separator/>
      </w:r>
    </w:p>
  </w:endnote>
  <w:endnote w:type="continuationSeparator" w:id="0">
    <w:p w14:paraId="42C5E7E7" w14:textId="77777777" w:rsidR="00D11DEA" w:rsidRDefault="00D11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altName w:val="Malgun Gothic"/>
    <w:panose1 w:val="020B0503020000020004"/>
    <w:charset w:val="81"/>
    <w:family w:val="swiss"/>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8897861"/>
      <w:docPartObj>
        <w:docPartGallery w:val="Page Numbers (Bottom of Page)"/>
        <w:docPartUnique/>
      </w:docPartObj>
    </w:sdtPr>
    <w:sdtEndPr/>
    <w:sdtContent>
      <w:p w14:paraId="12B40BB0" w14:textId="77777777" w:rsidR="00E76076" w:rsidRDefault="00786871">
        <w:pPr>
          <w:jc w:val="center"/>
        </w:pPr>
        <w:r>
          <w:fldChar w:fldCharType="begin"/>
        </w:r>
        <w:r>
          <w:instrText>PAGE   \* MERGEFORMAT</w:instrText>
        </w:r>
        <w:r>
          <w:fldChar w:fldCharType="separate"/>
        </w:r>
        <w:r>
          <w:rPr>
            <w:lang w:val="ko-KR"/>
          </w:rPr>
          <w:t>2</w:t>
        </w:r>
        <w:r>
          <w:fldChar w:fldCharType="end"/>
        </w:r>
      </w:p>
    </w:sdtContent>
  </w:sdt>
  <w:p w14:paraId="20311AA8" w14:textId="77777777" w:rsidR="00E76076" w:rsidRDefault="00E760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33F25" w14:textId="77777777" w:rsidR="00D11DEA" w:rsidRDefault="00D11DEA">
      <w:pPr>
        <w:spacing w:after="0" w:line="240" w:lineRule="auto"/>
      </w:pPr>
      <w:r>
        <w:separator/>
      </w:r>
    </w:p>
  </w:footnote>
  <w:footnote w:type="continuationSeparator" w:id="0">
    <w:p w14:paraId="4BF7D25E" w14:textId="77777777" w:rsidR="00D11DEA" w:rsidRDefault="00D11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D333B" w14:textId="77777777" w:rsidR="00E76076" w:rsidRPr="00F76F2D" w:rsidRDefault="00786871" w:rsidP="00C614CD">
    <w:pPr>
      <w:jc w:val="left"/>
      <w:rPr>
        <w:rFonts w:ascii="Times New Roman" w:hAnsi="Times New Roman" w:cs="Times New Roman"/>
      </w:rPr>
    </w:pPr>
    <w:r w:rsidRPr="00F76F2D">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F76F2D">
      <w:rPr>
        <w:rFonts w:ascii="Times New Roman" w:hAnsi="Times New Roman" w:cs="Times New Roman"/>
      </w:rPr>
      <w:tab/>
    </w:r>
    <w:r>
      <w:rPr>
        <w:rFonts w:ascii="Times New Roman" w:hAnsi="Times New Roman" w:cs="Times New Roman"/>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F7CB6"/>
    <w:multiLevelType w:val="hybridMultilevel"/>
    <w:tmpl w:val="5072B696"/>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4DDC3EA3"/>
    <w:multiLevelType w:val="hybridMultilevel"/>
    <w:tmpl w:val="C76C1D1A"/>
    <w:lvl w:ilvl="0" w:tplc="B672E1F6">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5EE96A53"/>
    <w:multiLevelType w:val="hybridMultilevel"/>
    <w:tmpl w:val="62724B1A"/>
    <w:lvl w:ilvl="0" w:tplc="0409000F">
      <w:start w:val="1"/>
      <w:numFmt w:val="decimal"/>
      <w:lvlText w:val="%1."/>
      <w:lvlJc w:val="left"/>
      <w:pPr>
        <w:ind w:left="440" w:hanging="440"/>
      </w:p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3AF0D06"/>
    <w:multiLevelType w:val="hybridMultilevel"/>
    <w:tmpl w:val="235622E8"/>
    <w:lvl w:ilvl="0" w:tplc="0409000F">
      <w:start w:val="1"/>
      <w:numFmt w:val="decimal"/>
      <w:lvlText w:val="%1."/>
      <w:lvlJc w:val="left"/>
      <w:pPr>
        <w:ind w:left="440" w:hanging="440"/>
      </w:p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349"/>
    <w:rsid w:val="001024E6"/>
    <w:rsid w:val="00191865"/>
    <w:rsid w:val="001A10E9"/>
    <w:rsid w:val="00294E26"/>
    <w:rsid w:val="002C7D7D"/>
    <w:rsid w:val="00321C40"/>
    <w:rsid w:val="00327275"/>
    <w:rsid w:val="00401757"/>
    <w:rsid w:val="0050730A"/>
    <w:rsid w:val="005167C7"/>
    <w:rsid w:val="005E386B"/>
    <w:rsid w:val="00737598"/>
    <w:rsid w:val="00740B69"/>
    <w:rsid w:val="00786871"/>
    <w:rsid w:val="007D5981"/>
    <w:rsid w:val="0085530A"/>
    <w:rsid w:val="008D313C"/>
    <w:rsid w:val="009C295C"/>
    <w:rsid w:val="00A1225B"/>
    <w:rsid w:val="00A14349"/>
    <w:rsid w:val="00A46ED2"/>
    <w:rsid w:val="00A82925"/>
    <w:rsid w:val="00B57C79"/>
    <w:rsid w:val="00C347F4"/>
    <w:rsid w:val="00D10890"/>
    <w:rsid w:val="00D11DEA"/>
    <w:rsid w:val="00E23621"/>
    <w:rsid w:val="00E76076"/>
    <w:rsid w:val="00EA7F7A"/>
    <w:rsid w:val="00EF010E"/>
    <w:rsid w:val="00F02A40"/>
    <w:rsid w:val="00FB5E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AFFA4"/>
  <w15:chartTrackingRefBased/>
  <w15:docId w15:val="{9B01D292-D229-4E65-91B6-F55FA4A0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4349"/>
    <w:pPr>
      <w:widowControl w:val="0"/>
      <w:wordWrap w:val="0"/>
      <w:autoSpaceDE w:val="0"/>
      <w:autoSpaceDN w:val="0"/>
    </w:pPr>
  </w:style>
  <w:style w:type="paragraph" w:styleId="1">
    <w:name w:val="heading 1"/>
    <w:basedOn w:val="a"/>
    <w:next w:val="a"/>
    <w:link w:val="1Char"/>
    <w:uiPriority w:val="9"/>
    <w:qFormat/>
    <w:rsid w:val="00A1434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A1434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A1434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A1434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A1434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A1434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A1434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A1434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A1434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A14349"/>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A14349"/>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A14349"/>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A14349"/>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A14349"/>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A14349"/>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A14349"/>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A14349"/>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A14349"/>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A1434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A1434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1434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A14349"/>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A14349"/>
    <w:pPr>
      <w:spacing w:before="160"/>
      <w:jc w:val="center"/>
    </w:pPr>
    <w:rPr>
      <w:i/>
      <w:iCs/>
      <w:color w:val="404040" w:themeColor="text1" w:themeTint="BF"/>
    </w:rPr>
  </w:style>
  <w:style w:type="character" w:customStyle="1" w:styleId="Char1">
    <w:name w:val="인용 Char"/>
    <w:basedOn w:val="a0"/>
    <w:link w:val="a5"/>
    <w:uiPriority w:val="29"/>
    <w:rsid w:val="00A14349"/>
    <w:rPr>
      <w:i/>
      <w:iCs/>
      <w:color w:val="404040" w:themeColor="text1" w:themeTint="BF"/>
    </w:rPr>
  </w:style>
  <w:style w:type="paragraph" w:styleId="a6">
    <w:name w:val="List Paragraph"/>
    <w:basedOn w:val="a"/>
    <w:uiPriority w:val="34"/>
    <w:qFormat/>
    <w:rsid w:val="00A14349"/>
    <w:pPr>
      <w:ind w:left="720"/>
      <w:contextualSpacing/>
    </w:pPr>
  </w:style>
  <w:style w:type="character" w:styleId="a7">
    <w:name w:val="Intense Emphasis"/>
    <w:basedOn w:val="a0"/>
    <w:uiPriority w:val="21"/>
    <w:qFormat/>
    <w:rsid w:val="00A14349"/>
    <w:rPr>
      <w:i/>
      <w:iCs/>
      <w:color w:val="0F4761" w:themeColor="accent1" w:themeShade="BF"/>
    </w:rPr>
  </w:style>
  <w:style w:type="paragraph" w:styleId="a8">
    <w:name w:val="Intense Quote"/>
    <w:basedOn w:val="a"/>
    <w:next w:val="a"/>
    <w:link w:val="Char2"/>
    <w:uiPriority w:val="30"/>
    <w:qFormat/>
    <w:rsid w:val="00A14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A14349"/>
    <w:rPr>
      <w:i/>
      <w:iCs/>
      <w:color w:val="0F4761" w:themeColor="accent1" w:themeShade="BF"/>
    </w:rPr>
  </w:style>
  <w:style w:type="character" w:styleId="a9">
    <w:name w:val="Intense Reference"/>
    <w:basedOn w:val="a0"/>
    <w:uiPriority w:val="32"/>
    <w:qFormat/>
    <w:rsid w:val="00A14349"/>
    <w:rPr>
      <w:b/>
      <w:bCs/>
      <w:smallCaps/>
      <w:color w:val="0F4761" w:themeColor="accent1" w:themeShade="BF"/>
      <w:spacing w:val="5"/>
    </w:rPr>
  </w:style>
  <w:style w:type="paragraph" w:styleId="aa">
    <w:name w:val="footnote text"/>
    <w:basedOn w:val="a"/>
    <w:link w:val="Char3"/>
    <w:uiPriority w:val="99"/>
    <w:semiHidden/>
    <w:unhideWhenUsed/>
    <w:rsid w:val="001024E6"/>
    <w:pPr>
      <w:snapToGrid w:val="0"/>
      <w:jc w:val="left"/>
    </w:pPr>
  </w:style>
  <w:style w:type="character" w:customStyle="1" w:styleId="Char3">
    <w:name w:val="각주 텍스트 Char"/>
    <w:basedOn w:val="a0"/>
    <w:link w:val="aa"/>
    <w:uiPriority w:val="99"/>
    <w:semiHidden/>
    <w:rsid w:val="001024E6"/>
  </w:style>
  <w:style w:type="character" w:styleId="ab">
    <w:name w:val="footnote reference"/>
    <w:basedOn w:val="a0"/>
    <w:uiPriority w:val="99"/>
    <w:semiHidden/>
    <w:unhideWhenUsed/>
    <w:rsid w:val="001024E6"/>
    <w:rPr>
      <w:vertAlign w:val="superscript"/>
    </w:rPr>
  </w:style>
  <w:style w:type="paragraph" w:styleId="ac">
    <w:name w:val="header"/>
    <w:basedOn w:val="a"/>
    <w:link w:val="Char4"/>
    <w:uiPriority w:val="99"/>
    <w:unhideWhenUsed/>
    <w:rsid w:val="00740B69"/>
    <w:pPr>
      <w:tabs>
        <w:tab w:val="center" w:pos="4513"/>
        <w:tab w:val="right" w:pos="9026"/>
      </w:tabs>
      <w:snapToGrid w:val="0"/>
    </w:pPr>
  </w:style>
  <w:style w:type="character" w:customStyle="1" w:styleId="Char4">
    <w:name w:val="머리글 Char"/>
    <w:basedOn w:val="a0"/>
    <w:link w:val="ac"/>
    <w:uiPriority w:val="99"/>
    <w:rsid w:val="00740B69"/>
  </w:style>
  <w:style w:type="paragraph" w:styleId="ad">
    <w:name w:val="footer"/>
    <w:basedOn w:val="a"/>
    <w:link w:val="Char5"/>
    <w:uiPriority w:val="99"/>
    <w:unhideWhenUsed/>
    <w:rsid w:val="00740B69"/>
    <w:pPr>
      <w:tabs>
        <w:tab w:val="center" w:pos="4513"/>
        <w:tab w:val="right" w:pos="9026"/>
      </w:tabs>
      <w:snapToGrid w:val="0"/>
    </w:pPr>
  </w:style>
  <w:style w:type="character" w:customStyle="1" w:styleId="Char5">
    <w:name w:val="바닥글 Char"/>
    <w:basedOn w:val="a0"/>
    <w:link w:val="ad"/>
    <w:uiPriority w:val="99"/>
    <w:rsid w:val="00740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8891D-68AD-4949-8FB8-17E09546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1869</Words>
  <Characters>10659</Characters>
  <Application>Microsoft Office Word</Application>
  <DocSecurity>0</DocSecurity>
  <Lines>88</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13699</dc:creator>
  <cp:keywords/>
  <dc:description/>
  <cp:lastModifiedBy>User</cp:lastModifiedBy>
  <cp:revision>8</cp:revision>
  <dcterms:created xsi:type="dcterms:W3CDTF">2025-05-16T04:47:00Z</dcterms:created>
  <dcterms:modified xsi:type="dcterms:W3CDTF">2025-05-17T00:43:00Z</dcterms:modified>
</cp:coreProperties>
</file>